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7626"/>
      </w:tblGrid>
      <w:tr w:rsidR="00312385" w:rsidTr="00590A22">
        <w:tc>
          <w:tcPr>
            <w:tcW w:w="1654" w:type="dxa"/>
          </w:tcPr>
          <w:p w:rsidR="00312385" w:rsidRDefault="00312385" w:rsidP="00590A22">
            <w:pPr>
              <w:widowControl w:val="0"/>
              <w:autoSpaceDE w:val="0"/>
              <w:autoSpaceDN w:val="0"/>
              <w:adjustRightInd w:val="0"/>
              <w:ind w:right="-717"/>
              <w:rPr>
                <w:b/>
                <w:sz w:val="32"/>
                <w:szCs w:val="32"/>
                <w:lang w:eastAsia="ja-JP"/>
              </w:rPr>
            </w:pPr>
            <w:r>
              <w:rPr>
                <w:b/>
                <w:noProof/>
                <w:sz w:val="32"/>
                <w:szCs w:val="32"/>
              </w:rPr>
              <w:drawing>
                <wp:inline distT="0" distB="0" distL="0" distR="0" wp14:anchorId="3133635F" wp14:editId="1B77F6E0">
                  <wp:extent cx="952500" cy="1104900"/>
                  <wp:effectExtent l="0" t="0" r="1270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tionQ"/>
                          <pic:cNvPicPr/>
                        </pic:nvPicPr>
                        <pic:blipFill>
                          <a:blip r:embed="rId8">
                            <a:extLst>
                              <a:ext uri="{28A0092B-C50C-407E-A947-70E740481C1C}">
                                <a14:useLocalDpi xmlns:a14="http://schemas.microsoft.com/office/drawing/2010/main" val="0"/>
                              </a:ext>
                            </a:extLst>
                          </a:blip>
                          <a:stretch>
                            <a:fillRect/>
                          </a:stretch>
                        </pic:blipFill>
                        <pic:spPr>
                          <a:xfrm>
                            <a:off x="0" y="0"/>
                            <a:ext cx="952500" cy="1104900"/>
                          </a:xfrm>
                          <a:prstGeom prst="rect">
                            <a:avLst/>
                          </a:prstGeom>
                        </pic:spPr>
                      </pic:pic>
                    </a:graphicData>
                  </a:graphic>
                </wp:inline>
              </w:drawing>
            </w:r>
          </w:p>
        </w:tc>
        <w:tc>
          <w:tcPr>
            <w:tcW w:w="7626" w:type="dxa"/>
          </w:tcPr>
          <w:p w:rsidR="00312385" w:rsidRPr="00E666E8" w:rsidRDefault="00312385" w:rsidP="00590A22">
            <w:pPr>
              <w:widowControl w:val="0"/>
              <w:autoSpaceDE w:val="0"/>
              <w:autoSpaceDN w:val="0"/>
              <w:adjustRightInd w:val="0"/>
              <w:ind w:left="-378" w:right="-150"/>
              <w:jc w:val="center"/>
              <w:rPr>
                <w:b/>
                <w:sz w:val="20"/>
                <w:szCs w:val="20"/>
                <w:lang w:eastAsia="ja-JP"/>
              </w:rPr>
            </w:pPr>
            <w:bookmarkStart w:id="0" w:name="_GoBack"/>
            <w:bookmarkEnd w:id="0"/>
          </w:p>
          <w:p w:rsidR="00312385" w:rsidRPr="00F15C35" w:rsidRDefault="00312385" w:rsidP="00590A22">
            <w:pPr>
              <w:widowControl w:val="0"/>
              <w:autoSpaceDE w:val="0"/>
              <w:autoSpaceDN w:val="0"/>
              <w:adjustRightInd w:val="0"/>
              <w:ind w:left="-378" w:right="-150"/>
              <w:jc w:val="center"/>
              <w:rPr>
                <w:b/>
                <w:sz w:val="40"/>
                <w:szCs w:val="40"/>
                <w:lang w:eastAsia="ja-JP"/>
              </w:rPr>
            </w:pPr>
            <w:r>
              <w:rPr>
                <w:b/>
                <w:sz w:val="40"/>
                <w:szCs w:val="40"/>
                <w:lang w:eastAsia="ja-JP"/>
              </w:rPr>
              <w:t>C</w:t>
            </w:r>
            <w:r w:rsidRPr="00F15C35">
              <w:rPr>
                <w:b/>
                <w:sz w:val="40"/>
                <w:szCs w:val="40"/>
                <w:lang w:eastAsia="ja-JP"/>
              </w:rPr>
              <w:t>ritères du Prix</w:t>
            </w:r>
          </w:p>
          <w:p w:rsidR="00312385" w:rsidRPr="00F15C35" w:rsidRDefault="00312385" w:rsidP="00590A22">
            <w:pPr>
              <w:widowControl w:val="0"/>
              <w:autoSpaceDE w:val="0"/>
              <w:autoSpaceDN w:val="0"/>
              <w:adjustRightInd w:val="0"/>
              <w:ind w:left="-236" w:right="-150"/>
              <w:jc w:val="center"/>
              <w:rPr>
                <w:b/>
                <w:sz w:val="40"/>
                <w:szCs w:val="40"/>
                <w:lang w:eastAsia="ja-JP"/>
              </w:rPr>
            </w:pPr>
            <w:r w:rsidRPr="00F15C35">
              <w:rPr>
                <w:b/>
                <w:sz w:val="40"/>
                <w:szCs w:val="40"/>
                <w:lang w:eastAsia="ja-JP"/>
              </w:rPr>
              <w:t>"J'entreprends là où j'ai envie de vivre"</w:t>
            </w:r>
          </w:p>
          <w:p w:rsidR="00312385" w:rsidRPr="00F15C35" w:rsidRDefault="00312385" w:rsidP="00590A22">
            <w:pPr>
              <w:widowControl w:val="0"/>
              <w:autoSpaceDE w:val="0"/>
              <w:autoSpaceDN w:val="0"/>
              <w:adjustRightInd w:val="0"/>
              <w:ind w:left="-236" w:right="-150"/>
              <w:jc w:val="center"/>
              <w:rPr>
                <w:b/>
                <w:sz w:val="40"/>
                <w:szCs w:val="40"/>
                <w:lang w:eastAsia="ja-JP"/>
              </w:rPr>
            </w:pPr>
            <w:r>
              <w:rPr>
                <w:b/>
                <w:sz w:val="40"/>
                <w:szCs w:val="40"/>
                <w:lang w:eastAsia="ja-JP"/>
              </w:rPr>
              <w:t>pour le prix spécial</w:t>
            </w:r>
            <w:r w:rsidRPr="00F15C35">
              <w:rPr>
                <w:b/>
                <w:sz w:val="40"/>
                <w:szCs w:val="40"/>
                <w:lang w:eastAsia="ja-JP"/>
              </w:rPr>
              <w:t xml:space="preserve"> "</w:t>
            </w:r>
            <w:r>
              <w:rPr>
                <w:b/>
                <w:sz w:val="40"/>
                <w:szCs w:val="40"/>
                <w:lang w:eastAsia="ja-JP"/>
              </w:rPr>
              <w:t>Parc naturel régional</w:t>
            </w:r>
            <w:r w:rsidRPr="00F15C35">
              <w:rPr>
                <w:b/>
                <w:sz w:val="40"/>
                <w:szCs w:val="40"/>
                <w:lang w:eastAsia="ja-JP"/>
              </w:rPr>
              <w:t>"</w:t>
            </w:r>
          </w:p>
          <w:p w:rsidR="00312385" w:rsidRPr="00E666E8" w:rsidRDefault="00312385" w:rsidP="00590A22">
            <w:pPr>
              <w:widowControl w:val="0"/>
              <w:autoSpaceDE w:val="0"/>
              <w:autoSpaceDN w:val="0"/>
              <w:adjustRightInd w:val="0"/>
              <w:ind w:right="-150"/>
              <w:jc w:val="center"/>
              <w:rPr>
                <w:b/>
                <w:sz w:val="20"/>
                <w:szCs w:val="20"/>
                <w:lang w:eastAsia="ja-JP"/>
              </w:rPr>
            </w:pPr>
          </w:p>
        </w:tc>
      </w:tr>
    </w:tbl>
    <w:p w:rsidR="00312385" w:rsidRPr="00CF3633" w:rsidRDefault="00312385" w:rsidP="00312385">
      <w:pPr>
        <w:widowControl w:val="0"/>
        <w:autoSpaceDE w:val="0"/>
        <w:autoSpaceDN w:val="0"/>
        <w:adjustRightInd w:val="0"/>
        <w:ind w:right="-717"/>
        <w:jc w:val="center"/>
        <w:rPr>
          <w:b/>
          <w:sz w:val="32"/>
          <w:szCs w:val="32"/>
          <w:lang w:eastAsia="ja-JP"/>
        </w:rPr>
      </w:pPr>
    </w:p>
    <w:p w:rsidR="00312385" w:rsidRPr="00CF3633" w:rsidRDefault="00312385" w:rsidP="00312385">
      <w:pPr>
        <w:widowControl w:val="0"/>
        <w:autoSpaceDE w:val="0"/>
        <w:autoSpaceDN w:val="0"/>
        <w:adjustRightInd w:val="0"/>
        <w:ind w:right="-717"/>
        <w:rPr>
          <w:sz w:val="28"/>
          <w:szCs w:val="28"/>
          <w:lang w:eastAsia="ja-JP"/>
        </w:rPr>
      </w:pPr>
      <w:r w:rsidRPr="00CF3633">
        <w:rPr>
          <w:sz w:val="28"/>
          <w:szCs w:val="28"/>
          <w:lang w:eastAsia="ja-JP"/>
        </w:rPr>
        <w:t>Les dossiers présentés par les Parcs candidateront pour les prix génériques et seront également proposés pour le prix spécial "Parc naturel régional".</w:t>
      </w:r>
    </w:p>
    <w:p w:rsidR="00312385" w:rsidRPr="00CF3633" w:rsidRDefault="00312385" w:rsidP="00312385">
      <w:pPr>
        <w:widowControl w:val="0"/>
        <w:autoSpaceDE w:val="0"/>
        <w:autoSpaceDN w:val="0"/>
        <w:adjustRightInd w:val="0"/>
        <w:ind w:right="-717"/>
        <w:rPr>
          <w:sz w:val="28"/>
          <w:szCs w:val="28"/>
          <w:lang w:eastAsia="ja-JP"/>
        </w:rPr>
      </w:pPr>
      <w:r w:rsidRPr="00CF3633">
        <w:rPr>
          <w:sz w:val="28"/>
          <w:szCs w:val="28"/>
          <w:lang w:eastAsia="ja-JP"/>
        </w:rPr>
        <w:t>Concernant ce prix spécial, les dossiers de candidatures répondront en plus aux critères spécifiques liés aux objectifs prioritaires des Parcs.</w:t>
      </w:r>
    </w:p>
    <w:p w:rsidR="00312385" w:rsidRPr="00CF3633" w:rsidRDefault="00312385" w:rsidP="00312385">
      <w:pPr>
        <w:widowControl w:val="0"/>
        <w:autoSpaceDE w:val="0"/>
        <w:autoSpaceDN w:val="0"/>
        <w:adjustRightInd w:val="0"/>
        <w:ind w:right="-717"/>
        <w:rPr>
          <w:sz w:val="28"/>
          <w:szCs w:val="28"/>
          <w:lang w:eastAsia="ja-JP"/>
        </w:rPr>
      </w:pPr>
      <w:r w:rsidRPr="00CF3633">
        <w:rPr>
          <w:sz w:val="28"/>
          <w:szCs w:val="28"/>
          <w:lang w:eastAsia="ja-JP"/>
        </w:rPr>
        <w:t>La liste des critères spécifiques ci-dessous constitue une grille d'analyse mais pas un passage obligé de satisfaction de tous les points ci-dessous.</w:t>
      </w:r>
    </w:p>
    <w:p w:rsidR="00312385" w:rsidRPr="00CF3633" w:rsidRDefault="00312385" w:rsidP="00312385">
      <w:pPr>
        <w:widowControl w:val="0"/>
        <w:autoSpaceDE w:val="0"/>
        <w:autoSpaceDN w:val="0"/>
        <w:adjustRightInd w:val="0"/>
        <w:ind w:right="-717"/>
        <w:rPr>
          <w:b/>
          <w:sz w:val="16"/>
          <w:szCs w:val="16"/>
          <w:lang w:eastAsia="ja-JP"/>
        </w:rPr>
      </w:pPr>
    </w:p>
    <w:p w:rsidR="00312385" w:rsidRDefault="00312385" w:rsidP="00312385">
      <w:pPr>
        <w:widowControl w:val="0"/>
        <w:autoSpaceDE w:val="0"/>
        <w:autoSpaceDN w:val="0"/>
        <w:adjustRightInd w:val="0"/>
        <w:ind w:right="-717"/>
        <w:rPr>
          <w:b/>
          <w:sz w:val="28"/>
          <w:szCs w:val="28"/>
          <w:lang w:eastAsia="ja-JP"/>
        </w:rPr>
      </w:pPr>
      <w:r>
        <w:rPr>
          <w:b/>
          <w:sz w:val="28"/>
          <w:szCs w:val="28"/>
          <w:lang w:eastAsia="ja-JP"/>
        </w:rPr>
        <w:t>Merci de répondre directement aux critères sur la note suivante :</w:t>
      </w:r>
    </w:p>
    <w:p w:rsidR="00312385" w:rsidRPr="00513832" w:rsidRDefault="00312385" w:rsidP="00312385">
      <w:pPr>
        <w:widowControl w:val="0"/>
        <w:autoSpaceDE w:val="0"/>
        <w:autoSpaceDN w:val="0"/>
        <w:adjustRightInd w:val="0"/>
        <w:ind w:right="-717"/>
        <w:rPr>
          <w:b/>
          <w:sz w:val="28"/>
          <w:szCs w:val="28"/>
          <w:lang w:eastAsia="ja-JP"/>
        </w:rPr>
      </w:pPr>
    </w:p>
    <w:p w:rsidR="00312385"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Le projet répond à une problématique du territoire ou à des besoins de ses habitants</w:t>
      </w:r>
    </w:p>
    <w:p w:rsidR="00312385" w:rsidRPr="00CC4CB4" w:rsidRDefault="00312385" w:rsidP="00312385">
      <w:pPr>
        <w:widowControl w:val="0"/>
        <w:tabs>
          <w:tab w:val="left" w:pos="220"/>
          <w:tab w:val="left" w:pos="720"/>
        </w:tabs>
        <w:autoSpaceDE w:val="0"/>
        <w:autoSpaceDN w:val="0"/>
        <w:adjustRightInd w:val="0"/>
        <w:ind w:left="720" w:right="-717"/>
        <w:rPr>
          <w:sz w:val="28"/>
          <w:szCs w:val="28"/>
          <w:lang w:eastAsia="ja-JP"/>
        </w:rPr>
      </w:pPr>
    </w:p>
    <w:p w:rsidR="00312385"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Le projet</w:t>
      </w:r>
      <w:r>
        <w:rPr>
          <w:sz w:val="28"/>
          <w:szCs w:val="28"/>
          <w:lang w:eastAsia="ja-JP"/>
        </w:rPr>
        <w:t xml:space="preserve"> valorise une ressource locale : </w:t>
      </w:r>
      <w:r w:rsidRPr="00CC4CB4">
        <w:rPr>
          <w:sz w:val="28"/>
          <w:szCs w:val="28"/>
          <w:lang w:eastAsia="ja-JP"/>
        </w:rPr>
        <w:t>naturelle, culturelle, savoir-faire….</w:t>
      </w:r>
    </w:p>
    <w:p w:rsidR="00312385" w:rsidRPr="00CC4CB4" w:rsidRDefault="00312385" w:rsidP="00312385">
      <w:pPr>
        <w:widowControl w:val="0"/>
        <w:tabs>
          <w:tab w:val="left" w:pos="220"/>
          <w:tab w:val="left" w:pos="720"/>
        </w:tabs>
        <w:autoSpaceDE w:val="0"/>
        <w:autoSpaceDN w:val="0"/>
        <w:adjustRightInd w:val="0"/>
        <w:ind w:right="-717"/>
        <w:rPr>
          <w:sz w:val="28"/>
          <w:szCs w:val="28"/>
          <w:lang w:eastAsia="ja-JP"/>
        </w:rPr>
      </w:pPr>
    </w:p>
    <w:p w:rsidR="00312385"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 xml:space="preserve">Le projet présente un caractère </w:t>
      </w:r>
      <w:r>
        <w:rPr>
          <w:sz w:val="28"/>
          <w:szCs w:val="28"/>
          <w:lang w:eastAsia="ja-JP"/>
        </w:rPr>
        <w:t>« </w:t>
      </w:r>
      <w:r w:rsidRPr="00CC4CB4">
        <w:rPr>
          <w:sz w:val="28"/>
          <w:szCs w:val="28"/>
          <w:lang w:eastAsia="ja-JP"/>
        </w:rPr>
        <w:t>collectif</w:t>
      </w:r>
      <w:r>
        <w:rPr>
          <w:sz w:val="28"/>
          <w:szCs w:val="28"/>
          <w:lang w:eastAsia="ja-JP"/>
        </w:rPr>
        <w:t> »</w:t>
      </w:r>
      <w:r w:rsidRPr="00CC4CB4">
        <w:rPr>
          <w:sz w:val="28"/>
          <w:szCs w:val="28"/>
          <w:lang w:eastAsia="ja-JP"/>
        </w:rPr>
        <w:t>. Plusieurs ou personnes ou acteurs sont impliqués sans le portage (projet privé ou public/privé)</w:t>
      </w:r>
    </w:p>
    <w:p w:rsidR="00312385" w:rsidRPr="002529A5" w:rsidRDefault="00312385" w:rsidP="00312385">
      <w:pPr>
        <w:pStyle w:val="Paragraphedeliste"/>
        <w:widowControl w:val="0"/>
        <w:numPr>
          <w:ilvl w:val="0"/>
          <w:numId w:val="3"/>
        </w:numPr>
        <w:tabs>
          <w:tab w:val="left" w:pos="220"/>
          <w:tab w:val="left" w:pos="720"/>
        </w:tabs>
        <w:autoSpaceDE w:val="0"/>
        <w:autoSpaceDN w:val="0"/>
        <w:adjustRightInd w:val="0"/>
        <w:ind w:right="-717"/>
        <w:rPr>
          <w:i/>
          <w:sz w:val="28"/>
          <w:szCs w:val="28"/>
          <w:lang w:eastAsia="ja-JP"/>
        </w:rPr>
      </w:pPr>
      <w:r w:rsidRPr="002529A5">
        <w:rPr>
          <w:i/>
          <w:sz w:val="28"/>
          <w:szCs w:val="28"/>
          <w:lang w:eastAsia="ja-JP"/>
        </w:rPr>
        <w:t>par exemple : projet autour d’une filière de l’amont à l’aval réunissant des professionnels de différents secteurs, création d’une SCIC, projet économique participatif dans le domaine énergétique…</w:t>
      </w:r>
    </w:p>
    <w:p w:rsidR="00312385" w:rsidRPr="00CC4CB4" w:rsidRDefault="00312385" w:rsidP="00312385">
      <w:pPr>
        <w:widowControl w:val="0"/>
        <w:tabs>
          <w:tab w:val="left" w:pos="220"/>
          <w:tab w:val="left" w:pos="720"/>
        </w:tabs>
        <w:autoSpaceDE w:val="0"/>
        <w:autoSpaceDN w:val="0"/>
        <w:adjustRightInd w:val="0"/>
        <w:ind w:right="-717"/>
        <w:rPr>
          <w:sz w:val="28"/>
          <w:szCs w:val="28"/>
          <w:lang w:eastAsia="ja-JP"/>
        </w:rPr>
      </w:pPr>
    </w:p>
    <w:p w:rsidR="00312385" w:rsidRPr="00CC4CB4"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 xml:space="preserve">Le projet présente une capacité de développement sur le long terme (développement des flux et/ou élargissement possible du portage) </w:t>
      </w:r>
    </w:p>
    <w:p w:rsidR="00312385" w:rsidRPr="00CC4CB4" w:rsidRDefault="00312385" w:rsidP="00312385">
      <w:pPr>
        <w:pStyle w:val="Paragraphedeliste"/>
        <w:widowControl w:val="0"/>
        <w:numPr>
          <w:ilvl w:val="0"/>
          <w:numId w:val="2"/>
        </w:numPr>
        <w:tabs>
          <w:tab w:val="left" w:pos="220"/>
          <w:tab w:val="left" w:pos="720"/>
        </w:tabs>
        <w:autoSpaceDE w:val="0"/>
        <w:autoSpaceDN w:val="0"/>
        <w:adjustRightInd w:val="0"/>
        <w:ind w:right="-717"/>
        <w:rPr>
          <w:i/>
          <w:sz w:val="28"/>
          <w:szCs w:val="28"/>
          <w:lang w:eastAsia="ja-JP"/>
        </w:rPr>
      </w:pPr>
      <w:r w:rsidRPr="00CC4CB4">
        <w:rPr>
          <w:i/>
          <w:sz w:val="28"/>
          <w:szCs w:val="28"/>
          <w:lang w:eastAsia="ja-JP"/>
        </w:rPr>
        <w:t xml:space="preserve">par exemple 6 artisans </w:t>
      </w:r>
      <w:proofErr w:type="spellStart"/>
      <w:r w:rsidRPr="00CC4CB4">
        <w:rPr>
          <w:i/>
          <w:sz w:val="28"/>
          <w:szCs w:val="28"/>
          <w:lang w:eastAsia="ja-JP"/>
        </w:rPr>
        <w:t>muraillers</w:t>
      </w:r>
      <w:proofErr w:type="spellEnd"/>
      <w:r w:rsidRPr="00CC4CB4">
        <w:rPr>
          <w:i/>
          <w:sz w:val="28"/>
          <w:szCs w:val="28"/>
          <w:lang w:eastAsia="ja-JP"/>
        </w:rPr>
        <w:t xml:space="preserve"> porteurs d’un projet sur la Pierre sèche sont ouverts au développement de leurs marchés de rénovation et de construction en neuf et aussi à la possible arrivée future de nouveaux artisans »</w:t>
      </w:r>
    </w:p>
    <w:p w:rsidR="00312385" w:rsidRPr="00CC4CB4" w:rsidRDefault="00312385" w:rsidP="00312385">
      <w:pPr>
        <w:pStyle w:val="Paragraphedeliste"/>
        <w:widowControl w:val="0"/>
        <w:tabs>
          <w:tab w:val="left" w:pos="220"/>
          <w:tab w:val="left" w:pos="720"/>
        </w:tabs>
        <w:autoSpaceDE w:val="0"/>
        <w:autoSpaceDN w:val="0"/>
        <w:adjustRightInd w:val="0"/>
        <w:ind w:left="800" w:right="-717"/>
        <w:rPr>
          <w:i/>
          <w:sz w:val="28"/>
          <w:szCs w:val="28"/>
          <w:lang w:eastAsia="ja-JP"/>
        </w:rPr>
      </w:pPr>
    </w:p>
    <w:p w:rsidR="00312385"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Le projet est connu et soutenu par l’envi</w:t>
      </w:r>
      <w:r>
        <w:rPr>
          <w:sz w:val="28"/>
          <w:szCs w:val="28"/>
          <w:lang w:eastAsia="ja-JP"/>
        </w:rPr>
        <w:t xml:space="preserve">ronnement institutionnel local </w:t>
      </w:r>
    </w:p>
    <w:p w:rsidR="00312385" w:rsidRPr="00CC4CB4" w:rsidRDefault="00312385" w:rsidP="00312385">
      <w:pPr>
        <w:pStyle w:val="Paragraphedeliste"/>
        <w:widowControl w:val="0"/>
        <w:numPr>
          <w:ilvl w:val="0"/>
          <w:numId w:val="2"/>
        </w:numPr>
        <w:tabs>
          <w:tab w:val="left" w:pos="220"/>
          <w:tab w:val="left" w:pos="720"/>
        </w:tabs>
        <w:autoSpaceDE w:val="0"/>
        <w:autoSpaceDN w:val="0"/>
        <w:adjustRightInd w:val="0"/>
        <w:ind w:right="-717"/>
        <w:rPr>
          <w:i/>
          <w:sz w:val="28"/>
          <w:szCs w:val="28"/>
          <w:lang w:eastAsia="ja-JP"/>
        </w:rPr>
      </w:pPr>
      <w:r w:rsidRPr="00CC4CB4">
        <w:rPr>
          <w:i/>
          <w:sz w:val="28"/>
          <w:szCs w:val="28"/>
          <w:lang w:eastAsia="ja-JP"/>
        </w:rPr>
        <w:t>par exemple : Parc, communautés de communes, partenaires de la thématique) </w:t>
      </w:r>
    </w:p>
    <w:p w:rsidR="00312385" w:rsidRPr="00CC4CB4" w:rsidRDefault="00312385" w:rsidP="00312385">
      <w:pPr>
        <w:widowControl w:val="0"/>
        <w:tabs>
          <w:tab w:val="left" w:pos="220"/>
          <w:tab w:val="left" w:pos="720"/>
        </w:tabs>
        <w:autoSpaceDE w:val="0"/>
        <w:autoSpaceDN w:val="0"/>
        <w:adjustRightInd w:val="0"/>
        <w:ind w:left="720" w:right="-717"/>
        <w:rPr>
          <w:sz w:val="28"/>
          <w:szCs w:val="28"/>
          <w:lang w:eastAsia="ja-JP"/>
        </w:rPr>
      </w:pPr>
    </w:p>
    <w:p w:rsidR="00312385" w:rsidRPr="00CC4CB4" w:rsidRDefault="00312385" w:rsidP="00312385">
      <w:pPr>
        <w:widowControl w:val="0"/>
        <w:numPr>
          <w:ilvl w:val="0"/>
          <w:numId w:val="1"/>
        </w:numPr>
        <w:tabs>
          <w:tab w:val="left" w:pos="220"/>
          <w:tab w:val="left" w:pos="720"/>
        </w:tabs>
        <w:autoSpaceDE w:val="0"/>
        <w:autoSpaceDN w:val="0"/>
        <w:adjustRightInd w:val="0"/>
        <w:ind w:right="-717" w:hanging="720"/>
        <w:rPr>
          <w:sz w:val="28"/>
          <w:szCs w:val="28"/>
          <w:lang w:eastAsia="ja-JP"/>
        </w:rPr>
      </w:pPr>
      <w:r w:rsidRPr="00CC4CB4">
        <w:rPr>
          <w:sz w:val="28"/>
          <w:szCs w:val="28"/>
          <w:lang w:eastAsia="ja-JP"/>
        </w:rPr>
        <w:t xml:space="preserve">Le projet se caractérise par une attention particulière à la notion de développement durable et solidaire (préservation de l’environnement et des milieux, circuits courts, cycle de vie, optimisation énergétique, économie circulaire, impact social local, coopération avec des structures sociales et solidaires) </w:t>
      </w:r>
    </w:p>
    <w:p w:rsidR="00312385" w:rsidRDefault="00312385" w:rsidP="00312385">
      <w:pPr>
        <w:pStyle w:val="Paragraphedeliste"/>
        <w:widowControl w:val="0"/>
        <w:numPr>
          <w:ilvl w:val="0"/>
          <w:numId w:val="2"/>
        </w:numPr>
        <w:tabs>
          <w:tab w:val="left" w:pos="220"/>
          <w:tab w:val="left" w:pos="720"/>
        </w:tabs>
        <w:autoSpaceDE w:val="0"/>
        <w:autoSpaceDN w:val="0"/>
        <w:adjustRightInd w:val="0"/>
        <w:ind w:right="-717"/>
        <w:rPr>
          <w:i/>
          <w:sz w:val="28"/>
          <w:szCs w:val="28"/>
          <w:lang w:eastAsia="ja-JP"/>
        </w:rPr>
      </w:pPr>
      <w:r w:rsidRPr="00CC4CB4">
        <w:rPr>
          <w:i/>
          <w:sz w:val="28"/>
          <w:szCs w:val="28"/>
          <w:lang w:eastAsia="ja-JP"/>
        </w:rPr>
        <w:t>par exemple un projet de valorisation des plantes aromatiques participe à une charte sur la préservation des espèces sur pelouses sèches et intègre une entreprise d’insertion qui travaille sur la cueillette.</w:t>
      </w:r>
    </w:p>
    <w:p w:rsidR="00312385" w:rsidRDefault="00312385" w:rsidP="00312385">
      <w:pPr>
        <w:ind w:right="-717"/>
        <w:rPr>
          <w:i/>
          <w:sz w:val="28"/>
          <w:szCs w:val="28"/>
          <w:lang w:eastAsia="ja-JP"/>
        </w:rPr>
      </w:pPr>
    </w:p>
    <w:p w:rsidR="00312385" w:rsidRDefault="00312385" w:rsidP="00312385">
      <w:pPr>
        <w:pStyle w:val="Paragraphedeliste"/>
        <w:widowControl w:val="0"/>
        <w:numPr>
          <w:ilvl w:val="0"/>
          <w:numId w:val="4"/>
        </w:numPr>
        <w:autoSpaceDE w:val="0"/>
        <w:autoSpaceDN w:val="0"/>
        <w:adjustRightInd w:val="0"/>
        <w:ind w:left="284" w:right="-717" w:hanging="284"/>
        <w:rPr>
          <w:sz w:val="28"/>
          <w:szCs w:val="28"/>
          <w:lang w:eastAsia="ja-JP"/>
        </w:rPr>
      </w:pPr>
      <w:r>
        <w:rPr>
          <w:sz w:val="28"/>
          <w:szCs w:val="28"/>
          <w:lang w:eastAsia="ja-JP"/>
        </w:rPr>
        <w:t>Le projet est une occasion de relier</w:t>
      </w:r>
      <w:r w:rsidRPr="00F15C35">
        <w:rPr>
          <w:sz w:val="28"/>
          <w:szCs w:val="28"/>
          <w:lang w:eastAsia="ja-JP"/>
        </w:rPr>
        <w:t xml:space="preserve"> l’urbain et le rural au travers </w:t>
      </w:r>
      <w:r>
        <w:rPr>
          <w:sz w:val="28"/>
          <w:szCs w:val="28"/>
          <w:lang w:eastAsia="ja-JP"/>
        </w:rPr>
        <w:t xml:space="preserve">notamment </w:t>
      </w:r>
      <w:r w:rsidRPr="00F15C35">
        <w:rPr>
          <w:sz w:val="28"/>
          <w:szCs w:val="28"/>
          <w:lang w:eastAsia="ja-JP"/>
        </w:rPr>
        <w:t xml:space="preserve">les villes portes </w:t>
      </w:r>
    </w:p>
    <w:sectPr w:rsidR="00312385" w:rsidSect="00312385">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85" w:rsidRDefault="00312385" w:rsidP="00312385">
      <w:r>
        <w:separator/>
      </w:r>
    </w:p>
  </w:endnote>
  <w:endnote w:type="continuationSeparator" w:id="0">
    <w:p w:rsidR="00312385" w:rsidRDefault="00312385" w:rsidP="003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85" w:rsidRDefault="00312385" w:rsidP="00312385">
      <w:r>
        <w:separator/>
      </w:r>
    </w:p>
  </w:footnote>
  <w:footnote w:type="continuationSeparator" w:id="0">
    <w:p w:rsidR="00312385" w:rsidRDefault="00312385" w:rsidP="003123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CE7E0F"/>
    <w:multiLevelType w:val="hybridMultilevel"/>
    <w:tmpl w:val="EA6E2EAA"/>
    <w:lvl w:ilvl="0" w:tplc="B9EAE9B8">
      <w:numFmt w:val="bullet"/>
      <w:lvlText w:val=""/>
      <w:lvlJc w:val="left"/>
      <w:pPr>
        <w:ind w:left="740" w:hanging="38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793D1A"/>
    <w:multiLevelType w:val="hybridMultilevel"/>
    <w:tmpl w:val="D6D67E62"/>
    <w:lvl w:ilvl="0" w:tplc="A58A195A">
      <w:numFmt w:val="bullet"/>
      <w:lvlText w:val=""/>
      <w:lvlJc w:val="left"/>
      <w:pPr>
        <w:ind w:left="800" w:hanging="44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4426C1"/>
    <w:multiLevelType w:val="hybridMultilevel"/>
    <w:tmpl w:val="D8F81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85"/>
    <w:rsid w:val="00312385"/>
    <w:rsid w:val="0033783A"/>
    <w:rsid w:val="00CE280F"/>
    <w:rsid w:val="00F23F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CF09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85"/>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12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12385"/>
    <w:pPr>
      <w:ind w:left="720"/>
      <w:contextualSpacing/>
    </w:pPr>
  </w:style>
  <w:style w:type="paragraph" w:styleId="Textedebulles">
    <w:name w:val="Balloon Text"/>
    <w:basedOn w:val="Normal"/>
    <w:link w:val="TextedebullesCar"/>
    <w:uiPriority w:val="99"/>
    <w:semiHidden/>
    <w:unhideWhenUsed/>
    <w:rsid w:val="0031238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2385"/>
    <w:rPr>
      <w:rFonts w:ascii="Lucida Grande" w:hAnsi="Lucida Grande" w:cs="Lucida Grande"/>
      <w:sz w:val="18"/>
      <w:szCs w:val="18"/>
      <w:lang w:eastAsia="fr-FR"/>
    </w:rPr>
  </w:style>
  <w:style w:type="paragraph" w:styleId="En-tte">
    <w:name w:val="header"/>
    <w:basedOn w:val="Normal"/>
    <w:link w:val="En-tteCar"/>
    <w:uiPriority w:val="99"/>
    <w:unhideWhenUsed/>
    <w:rsid w:val="00312385"/>
    <w:pPr>
      <w:tabs>
        <w:tab w:val="center" w:pos="4536"/>
        <w:tab w:val="right" w:pos="9072"/>
      </w:tabs>
    </w:pPr>
  </w:style>
  <w:style w:type="character" w:customStyle="1" w:styleId="En-tteCar">
    <w:name w:val="En-tête Car"/>
    <w:basedOn w:val="Policepardfaut"/>
    <w:link w:val="En-tte"/>
    <w:uiPriority w:val="99"/>
    <w:rsid w:val="00312385"/>
    <w:rPr>
      <w:lang w:eastAsia="fr-FR"/>
    </w:rPr>
  </w:style>
  <w:style w:type="paragraph" w:styleId="Pieddepage">
    <w:name w:val="footer"/>
    <w:basedOn w:val="Normal"/>
    <w:link w:val="PieddepageCar"/>
    <w:uiPriority w:val="99"/>
    <w:unhideWhenUsed/>
    <w:rsid w:val="00312385"/>
    <w:pPr>
      <w:tabs>
        <w:tab w:val="center" w:pos="4536"/>
        <w:tab w:val="right" w:pos="9072"/>
      </w:tabs>
    </w:pPr>
  </w:style>
  <w:style w:type="character" w:customStyle="1" w:styleId="PieddepageCar">
    <w:name w:val="Pied de page Car"/>
    <w:basedOn w:val="Policepardfaut"/>
    <w:link w:val="Pieddepage"/>
    <w:uiPriority w:val="99"/>
    <w:rsid w:val="00312385"/>
    <w:rPr>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85"/>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12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12385"/>
    <w:pPr>
      <w:ind w:left="720"/>
      <w:contextualSpacing/>
    </w:pPr>
  </w:style>
  <w:style w:type="paragraph" w:styleId="Textedebulles">
    <w:name w:val="Balloon Text"/>
    <w:basedOn w:val="Normal"/>
    <w:link w:val="TextedebullesCar"/>
    <w:uiPriority w:val="99"/>
    <w:semiHidden/>
    <w:unhideWhenUsed/>
    <w:rsid w:val="0031238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2385"/>
    <w:rPr>
      <w:rFonts w:ascii="Lucida Grande" w:hAnsi="Lucida Grande" w:cs="Lucida Grande"/>
      <w:sz w:val="18"/>
      <w:szCs w:val="18"/>
      <w:lang w:eastAsia="fr-FR"/>
    </w:rPr>
  </w:style>
  <w:style w:type="paragraph" w:styleId="En-tte">
    <w:name w:val="header"/>
    <w:basedOn w:val="Normal"/>
    <w:link w:val="En-tteCar"/>
    <w:uiPriority w:val="99"/>
    <w:unhideWhenUsed/>
    <w:rsid w:val="00312385"/>
    <w:pPr>
      <w:tabs>
        <w:tab w:val="center" w:pos="4536"/>
        <w:tab w:val="right" w:pos="9072"/>
      </w:tabs>
    </w:pPr>
  </w:style>
  <w:style w:type="character" w:customStyle="1" w:styleId="En-tteCar">
    <w:name w:val="En-tête Car"/>
    <w:basedOn w:val="Policepardfaut"/>
    <w:link w:val="En-tte"/>
    <w:uiPriority w:val="99"/>
    <w:rsid w:val="00312385"/>
    <w:rPr>
      <w:lang w:eastAsia="fr-FR"/>
    </w:rPr>
  </w:style>
  <w:style w:type="paragraph" w:styleId="Pieddepage">
    <w:name w:val="footer"/>
    <w:basedOn w:val="Normal"/>
    <w:link w:val="PieddepageCar"/>
    <w:uiPriority w:val="99"/>
    <w:unhideWhenUsed/>
    <w:rsid w:val="00312385"/>
    <w:pPr>
      <w:tabs>
        <w:tab w:val="center" w:pos="4536"/>
        <w:tab w:val="right" w:pos="9072"/>
      </w:tabs>
    </w:pPr>
  </w:style>
  <w:style w:type="character" w:customStyle="1" w:styleId="PieddepageCar">
    <w:name w:val="Pied de page Car"/>
    <w:basedOn w:val="Policepardfaut"/>
    <w:link w:val="Pieddepage"/>
    <w:uiPriority w:val="99"/>
    <w:rsid w:val="00312385"/>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1910</Characters>
  <Application>Microsoft Macintosh Word</Application>
  <DocSecurity>0</DocSecurity>
  <Lines>15</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ibook  G4 4</dc:creator>
  <cp:keywords/>
  <dc:description/>
  <cp:lastModifiedBy>Poste ibook  G4 4</cp:lastModifiedBy>
  <cp:revision>1</cp:revision>
  <dcterms:created xsi:type="dcterms:W3CDTF">2018-04-03T07:46:00Z</dcterms:created>
  <dcterms:modified xsi:type="dcterms:W3CDTF">2018-04-03T07:49:00Z</dcterms:modified>
</cp:coreProperties>
</file>